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160" w:before="300" w:line="313.04347826086956" w:lineRule="auto"/>
        <w:jc w:val="center"/>
        <w:rPr>
          <w:b w:val="1"/>
          <w:sz w:val="32"/>
          <w:szCs w:val="32"/>
          <w:u w:val="single"/>
        </w:rPr>
      </w:pPr>
      <w:bookmarkStart w:colFirst="0" w:colLast="0" w:name="_i2n2xq84bit1" w:id="0"/>
      <w:bookmarkEnd w:id="0"/>
      <w:r w:rsidDel="00000000" w:rsidR="00000000" w:rsidRPr="00000000">
        <w:rPr>
          <w:b w:val="1"/>
          <w:sz w:val="32"/>
          <w:szCs w:val="32"/>
          <w:u w:val="single"/>
          <w:rtl w:val="0"/>
        </w:rPr>
        <w:t xml:space="preserve">Citing</w:t>
      </w:r>
    </w:p>
    <w:p w:rsidR="00000000" w:rsidDel="00000000" w:rsidP="00000000" w:rsidRDefault="00000000" w:rsidRPr="00000000" w14:paraId="00000002">
      <w:pPr>
        <w:shd w:fill="ffffff" w:val="clear"/>
        <w:spacing w:after="160" w:lineRule="auto"/>
        <w:rPr>
          <w:sz w:val="24"/>
          <w:szCs w:val="24"/>
        </w:rPr>
      </w:pPr>
      <w:r w:rsidDel="00000000" w:rsidR="00000000" w:rsidRPr="00000000">
        <w:rPr>
          <w:sz w:val="24"/>
          <w:szCs w:val="24"/>
          <w:rtl w:val="0"/>
        </w:rPr>
        <w:t xml:space="preserve">Citation, or the practice of documenting the sources you use in your writing, is a core element of academic research and writing, regardless of discipline. Citing sources not only allows you to document the scholarly conversation into which you’re entering. This is part of producing knowledge; documenting what and who you’ve read in the course of writing your paper is a mark of effective scholarship that meets the expectations of </w:t>
      </w:r>
      <w:hyperlink r:id="rId6">
        <w:r w:rsidDel="00000000" w:rsidR="00000000" w:rsidRPr="00000000">
          <w:rPr>
            <w:sz w:val="24"/>
            <w:szCs w:val="24"/>
            <w:u w:val="single"/>
            <w:rtl w:val="0"/>
          </w:rPr>
          <w:t xml:space="preserve">academic integrity</w:t>
        </w:r>
      </w:hyperlink>
      <w:r w:rsidDel="00000000" w:rsidR="00000000" w:rsidRPr="00000000">
        <w:rPr>
          <w:sz w:val="24"/>
          <w:szCs w:val="24"/>
          <w:rtl w:val="0"/>
        </w:rPr>
        <w:t xml:space="preserve">.</w:t>
      </w:r>
    </w:p>
    <w:p w:rsidR="00000000" w:rsidDel="00000000" w:rsidP="00000000" w:rsidRDefault="00000000" w:rsidRPr="00000000" w14:paraId="00000003">
      <w:pPr>
        <w:shd w:fill="ffffff" w:val="clear"/>
        <w:spacing w:after="160" w:lineRule="auto"/>
        <w:rPr>
          <w:b w:val="1"/>
          <w:sz w:val="24"/>
          <w:szCs w:val="24"/>
          <w:u w:val="single"/>
        </w:rPr>
      </w:pPr>
      <w:r w:rsidDel="00000000" w:rsidR="00000000" w:rsidRPr="00000000">
        <w:rPr>
          <w:rtl w:val="0"/>
        </w:rPr>
      </w:r>
    </w:p>
    <w:p w:rsidR="00000000" w:rsidDel="00000000" w:rsidP="00000000" w:rsidRDefault="00000000" w:rsidRPr="00000000" w14:paraId="00000004">
      <w:pPr>
        <w:shd w:fill="ffffff" w:val="clear"/>
        <w:spacing w:after="160" w:lineRule="auto"/>
        <w:rPr>
          <w:b w:val="1"/>
          <w:sz w:val="24"/>
          <w:szCs w:val="24"/>
          <w:u w:val="single"/>
        </w:rPr>
      </w:pPr>
      <w:r w:rsidDel="00000000" w:rsidR="00000000" w:rsidRPr="00000000">
        <w:rPr>
          <w:b w:val="1"/>
          <w:sz w:val="24"/>
          <w:szCs w:val="24"/>
          <w:u w:val="single"/>
          <w:rtl w:val="0"/>
        </w:rPr>
        <w:t xml:space="preserve">Citation Formatting</w:t>
      </w:r>
    </w:p>
    <w:p w:rsidR="00000000" w:rsidDel="00000000" w:rsidP="00000000" w:rsidRDefault="00000000" w:rsidRPr="00000000" w14:paraId="00000005">
      <w:pPr>
        <w:shd w:fill="ffffff" w:val="clear"/>
        <w:spacing w:after="160" w:lineRule="auto"/>
        <w:rPr>
          <w:sz w:val="24"/>
          <w:szCs w:val="24"/>
        </w:rPr>
      </w:pPr>
      <w:r w:rsidDel="00000000" w:rsidR="00000000" w:rsidRPr="00000000">
        <w:rPr>
          <w:sz w:val="24"/>
          <w:szCs w:val="24"/>
          <w:rtl w:val="0"/>
        </w:rPr>
        <w:t xml:space="preserve">Proper citation includes two parts: </w:t>
      </w:r>
      <w:r w:rsidDel="00000000" w:rsidR="00000000" w:rsidRPr="00000000">
        <w:rPr>
          <w:b w:val="1"/>
          <w:sz w:val="24"/>
          <w:szCs w:val="24"/>
          <w:rtl w:val="0"/>
        </w:rPr>
        <w:t xml:space="preserve">in-text citations</w:t>
      </w:r>
      <w:r w:rsidDel="00000000" w:rsidR="00000000" w:rsidRPr="00000000">
        <w:rPr>
          <w:sz w:val="24"/>
          <w:szCs w:val="24"/>
          <w:rtl w:val="0"/>
        </w:rPr>
        <w:t xml:space="preserve"> and a complete </w:t>
      </w:r>
      <w:r w:rsidDel="00000000" w:rsidR="00000000" w:rsidRPr="00000000">
        <w:rPr>
          <w:b w:val="1"/>
          <w:sz w:val="24"/>
          <w:szCs w:val="24"/>
          <w:rtl w:val="0"/>
        </w:rPr>
        <w:t xml:space="preserve">reference list of sources</w:t>
      </w:r>
      <w:r w:rsidDel="00000000" w:rsidR="00000000" w:rsidRPr="00000000">
        <w:rPr>
          <w:sz w:val="24"/>
          <w:szCs w:val="24"/>
          <w:rtl w:val="0"/>
        </w:rPr>
        <w:t xml:space="preserve"> from which these arose. In-text citations show the reader the specific information you have used in your paper and where exactly you draw on these sources in your discussion. The list of sources at the end of your paper gives the exact references you used, which allows anyone to easily find and refer back to them.</w:t>
      </w:r>
    </w:p>
    <w:p w:rsidR="00000000" w:rsidDel="00000000" w:rsidP="00000000" w:rsidRDefault="00000000" w:rsidRPr="00000000" w14:paraId="00000006">
      <w:pPr>
        <w:shd w:fill="ffffff" w:val="clear"/>
        <w:spacing w:after="160" w:lineRule="auto"/>
        <w:rPr>
          <w:sz w:val="24"/>
          <w:szCs w:val="24"/>
        </w:rPr>
      </w:pPr>
      <w:r w:rsidDel="00000000" w:rsidR="00000000" w:rsidRPr="00000000">
        <w:rPr>
          <w:sz w:val="24"/>
          <w:szCs w:val="24"/>
          <w:rtl w:val="0"/>
        </w:rPr>
        <w:t xml:space="preserve">In STEM disciplines, there are different ways to format and organize citations, and these “style guides” are discipline-specific (and sometimes course-specific) (Hochberg, 2019, p. 14). Be sure to check with your instructor about which style they would prefer before you write your first lab report or paper.</w:t>
      </w:r>
    </w:p>
    <w:p w:rsidR="00000000" w:rsidDel="00000000" w:rsidP="00000000" w:rsidRDefault="00000000" w:rsidRPr="00000000" w14:paraId="00000007">
      <w:pPr>
        <w:shd w:fill="ffffff" w:val="clear"/>
        <w:spacing w:after="160" w:lineRule="auto"/>
        <w:rPr>
          <w:sz w:val="24"/>
          <w:szCs w:val="24"/>
        </w:rPr>
      </w:pPr>
      <w:r w:rsidDel="00000000" w:rsidR="00000000" w:rsidRPr="00000000">
        <w:rPr>
          <w:rtl w:val="0"/>
        </w:rPr>
      </w:r>
    </w:p>
    <w:tbl>
      <w:tblPr>
        <w:tblStyle w:val="Table1"/>
        <w:tblW w:w="8910.0" w:type="dxa"/>
        <w:jc w:val="left"/>
        <w:tblInd w:w="160.0" w:type="pct"/>
        <w:tblBorders>
          <w:top w:color="aaaaaa" w:space="0" w:sz="6" w:val="single"/>
          <w:left w:color="aaaaaa" w:space="0" w:sz="6" w:val="single"/>
          <w:bottom w:color="aaaaaa" w:space="0" w:sz="6" w:val="single"/>
          <w:right w:color="aaaaaa" w:space="0" w:sz="6" w:val="single"/>
          <w:insideH w:color="aaaaaa" w:space="0" w:sz="6" w:val="single"/>
          <w:insideV w:color="aaaaaa" w:space="0" w:sz="6" w:val="single"/>
        </w:tblBorders>
        <w:tblLayout w:type="fixed"/>
        <w:tblLook w:val="0600"/>
      </w:tblPr>
      <w:tblGrid>
        <w:gridCol w:w="3555"/>
        <w:gridCol w:w="3405"/>
        <w:gridCol w:w="1950"/>
        <w:tblGridChange w:id="0">
          <w:tblGrid>
            <w:gridCol w:w="3555"/>
            <w:gridCol w:w="3405"/>
            <w:gridCol w:w="1950"/>
          </w:tblGrid>
        </w:tblGridChange>
      </w:tblGrid>
      <w:tr>
        <w:trPr>
          <w:cantSplit w:val="0"/>
          <w:trHeight w:val="555" w:hRule="atLeast"/>
          <w:tblHeader w:val="0"/>
        </w:trPr>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08">
            <w:pPr>
              <w:spacing w:after="220" w:before="220" w:lineRule="auto"/>
              <w:ind w:right="220"/>
              <w:rPr>
                <w:sz w:val="24"/>
                <w:szCs w:val="24"/>
              </w:rPr>
            </w:pPr>
            <w:r w:rsidDel="00000000" w:rsidR="00000000" w:rsidRPr="00000000">
              <w:rPr>
                <w:b w:val="1"/>
                <w:sz w:val="24"/>
                <w:szCs w:val="24"/>
                <w:rtl w:val="0"/>
              </w:rPr>
              <w:t xml:space="preserve">Discipline/Subject</w:t>
            </w: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09">
            <w:pPr>
              <w:spacing w:after="220" w:before="220" w:lineRule="auto"/>
              <w:ind w:right="220"/>
              <w:rPr>
                <w:sz w:val="24"/>
                <w:szCs w:val="24"/>
              </w:rPr>
            </w:pPr>
            <w:r w:rsidDel="00000000" w:rsidR="00000000" w:rsidRPr="00000000">
              <w:rPr>
                <w:b w:val="1"/>
                <w:sz w:val="24"/>
                <w:szCs w:val="24"/>
                <w:rtl w:val="0"/>
              </w:rPr>
              <w:t xml:space="preserve">Association/Organization</w:t>
            </w: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0A">
            <w:pPr>
              <w:spacing w:after="220" w:before="220" w:lineRule="auto"/>
              <w:ind w:right="220"/>
              <w:rPr>
                <w:sz w:val="24"/>
                <w:szCs w:val="24"/>
              </w:rPr>
            </w:pPr>
            <w:r w:rsidDel="00000000" w:rsidR="00000000" w:rsidRPr="00000000">
              <w:rPr>
                <w:b w:val="1"/>
                <w:sz w:val="24"/>
                <w:szCs w:val="24"/>
                <w:rtl w:val="0"/>
              </w:rPr>
              <w:t xml:space="preserve">Style Guide</w:t>
            </w:r>
            <w:r w:rsidDel="00000000" w:rsidR="00000000" w:rsidRPr="00000000">
              <w:rPr>
                <w:rtl w:val="0"/>
              </w:rPr>
            </w:r>
          </w:p>
        </w:tc>
      </w:tr>
      <w:tr>
        <w:trPr>
          <w:cantSplit w:val="0"/>
          <w:trHeight w:val="795" w:hRule="atLeast"/>
          <w:tblHeader w:val="0"/>
        </w:trPr>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0B">
            <w:pPr>
              <w:spacing w:after="220" w:before="220" w:lineRule="auto"/>
              <w:ind w:right="220"/>
              <w:rPr>
                <w:sz w:val="24"/>
                <w:szCs w:val="24"/>
              </w:rPr>
            </w:pPr>
            <w:r w:rsidDel="00000000" w:rsidR="00000000" w:rsidRPr="00000000">
              <w:rPr>
                <w:sz w:val="24"/>
                <w:szCs w:val="24"/>
                <w:rtl w:val="0"/>
              </w:rPr>
              <w:t xml:space="preserve">Chemistry</w:t>
            </w:r>
          </w:p>
        </w:tc>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0C">
            <w:pPr>
              <w:spacing w:after="220" w:before="220" w:lineRule="auto"/>
              <w:ind w:right="220"/>
              <w:rPr>
                <w:sz w:val="24"/>
                <w:szCs w:val="24"/>
              </w:rPr>
            </w:pPr>
            <w:r w:rsidDel="00000000" w:rsidR="00000000" w:rsidRPr="00000000">
              <w:rPr>
                <w:sz w:val="24"/>
                <w:szCs w:val="24"/>
                <w:rtl w:val="0"/>
              </w:rPr>
              <w:t xml:space="preserve">American Chemical Society</w:t>
            </w:r>
          </w:p>
        </w:tc>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0D">
            <w:pPr>
              <w:spacing w:after="220" w:before="220" w:lineRule="auto"/>
              <w:ind w:right="220"/>
              <w:rPr>
                <w:sz w:val="24"/>
                <w:szCs w:val="24"/>
              </w:rPr>
            </w:pPr>
            <w:r w:rsidDel="00000000" w:rsidR="00000000" w:rsidRPr="00000000">
              <w:rPr>
                <w:sz w:val="24"/>
                <w:szCs w:val="24"/>
                <w:rtl w:val="0"/>
              </w:rPr>
              <w:t xml:space="preserve">ACS Citation Style Guide</w:t>
            </w:r>
          </w:p>
        </w:tc>
      </w:tr>
      <w:tr>
        <w:trPr>
          <w:cantSplit w:val="0"/>
          <w:trHeight w:val="555" w:hRule="atLeast"/>
          <w:tblHeader w:val="0"/>
        </w:trPr>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0E">
            <w:pPr>
              <w:spacing w:after="220" w:before="220" w:lineRule="auto"/>
              <w:ind w:right="220"/>
              <w:rPr>
                <w:sz w:val="24"/>
                <w:szCs w:val="24"/>
              </w:rPr>
            </w:pPr>
            <w:r w:rsidDel="00000000" w:rsidR="00000000" w:rsidRPr="00000000">
              <w:rPr>
                <w:sz w:val="24"/>
                <w:szCs w:val="24"/>
                <w:rtl w:val="0"/>
              </w:rPr>
              <w:t xml:space="preserve">Mathematics</w:t>
            </w:r>
          </w:p>
        </w:tc>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0F">
            <w:pPr>
              <w:spacing w:after="220" w:before="220" w:lineRule="auto"/>
              <w:ind w:right="220"/>
              <w:rPr>
                <w:sz w:val="24"/>
                <w:szCs w:val="24"/>
              </w:rPr>
            </w:pPr>
            <w:r w:rsidDel="00000000" w:rsidR="00000000" w:rsidRPr="00000000">
              <w:rPr>
                <w:sz w:val="24"/>
                <w:szCs w:val="24"/>
                <w:rtl w:val="0"/>
              </w:rPr>
              <w:t xml:space="preserve">American Mathematical Style</w:t>
            </w:r>
          </w:p>
        </w:tc>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10">
            <w:pPr>
              <w:spacing w:after="220" w:before="220" w:lineRule="auto"/>
              <w:ind w:right="220"/>
              <w:rPr>
                <w:sz w:val="24"/>
                <w:szCs w:val="24"/>
              </w:rPr>
            </w:pPr>
            <w:r w:rsidDel="00000000" w:rsidR="00000000" w:rsidRPr="00000000">
              <w:rPr>
                <w:sz w:val="24"/>
                <w:szCs w:val="24"/>
                <w:rtl w:val="0"/>
              </w:rPr>
              <w:t xml:space="preserve">AMS Style Guide</w:t>
            </w:r>
          </w:p>
        </w:tc>
      </w:tr>
      <w:tr>
        <w:trPr>
          <w:cantSplit w:val="0"/>
          <w:trHeight w:val="795" w:hRule="atLeast"/>
          <w:tblHeader w:val="0"/>
        </w:trPr>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11">
            <w:pPr>
              <w:spacing w:after="220" w:before="220" w:lineRule="auto"/>
              <w:ind w:right="220"/>
              <w:rPr>
                <w:sz w:val="24"/>
                <w:szCs w:val="24"/>
              </w:rPr>
            </w:pPr>
            <w:r w:rsidDel="00000000" w:rsidR="00000000" w:rsidRPr="00000000">
              <w:rPr>
                <w:sz w:val="24"/>
                <w:szCs w:val="24"/>
                <w:rtl w:val="0"/>
              </w:rPr>
              <w:t xml:space="preserve">Psychology and many other social science disciplines</w:t>
            </w:r>
          </w:p>
        </w:tc>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12">
            <w:pPr>
              <w:spacing w:after="220" w:before="220" w:lineRule="auto"/>
              <w:ind w:right="220"/>
              <w:rPr>
                <w:sz w:val="24"/>
                <w:szCs w:val="24"/>
              </w:rPr>
            </w:pPr>
            <w:r w:rsidDel="00000000" w:rsidR="00000000" w:rsidRPr="00000000">
              <w:rPr>
                <w:sz w:val="24"/>
                <w:szCs w:val="24"/>
                <w:rtl w:val="0"/>
              </w:rPr>
              <w:t xml:space="preserve">American Psychological Association</w:t>
            </w:r>
          </w:p>
        </w:tc>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13">
            <w:pPr>
              <w:spacing w:after="220" w:before="220" w:lineRule="auto"/>
              <w:ind w:right="220"/>
              <w:rPr>
                <w:sz w:val="24"/>
                <w:szCs w:val="24"/>
              </w:rPr>
            </w:pPr>
            <w:r w:rsidDel="00000000" w:rsidR="00000000" w:rsidRPr="00000000">
              <w:rPr>
                <w:sz w:val="24"/>
                <w:szCs w:val="24"/>
                <w:rtl w:val="0"/>
              </w:rPr>
              <w:t xml:space="preserve">APA Citation Style Guide</w:t>
            </w:r>
          </w:p>
        </w:tc>
      </w:tr>
      <w:tr>
        <w:trPr>
          <w:cantSplit w:val="0"/>
          <w:trHeight w:val="795" w:hRule="atLeast"/>
          <w:tblHeader w:val="0"/>
        </w:trPr>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14">
            <w:pPr>
              <w:spacing w:after="220" w:before="220" w:lineRule="auto"/>
              <w:ind w:right="220"/>
              <w:rPr>
                <w:sz w:val="24"/>
                <w:szCs w:val="24"/>
              </w:rPr>
            </w:pPr>
            <w:r w:rsidDel="00000000" w:rsidR="00000000" w:rsidRPr="00000000">
              <w:rPr>
                <w:sz w:val="24"/>
                <w:szCs w:val="24"/>
                <w:rtl w:val="0"/>
              </w:rPr>
              <w:t xml:space="preserve">Some Engineering disciplines</w:t>
            </w:r>
          </w:p>
        </w:tc>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15">
            <w:pPr>
              <w:spacing w:after="220" w:before="220" w:lineRule="auto"/>
              <w:ind w:right="220"/>
              <w:rPr>
                <w:sz w:val="24"/>
                <w:szCs w:val="24"/>
              </w:rPr>
            </w:pPr>
            <w:r w:rsidDel="00000000" w:rsidR="00000000" w:rsidRPr="00000000">
              <w:rPr>
                <w:sz w:val="24"/>
                <w:szCs w:val="24"/>
                <w:rtl w:val="0"/>
              </w:rPr>
              <w:t xml:space="preserve">American Society of Civil Engineers</w:t>
            </w:r>
          </w:p>
        </w:tc>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16">
            <w:pPr>
              <w:spacing w:after="220" w:before="220" w:lineRule="auto"/>
              <w:ind w:right="220"/>
              <w:rPr>
                <w:sz w:val="24"/>
                <w:szCs w:val="24"/>
              </w:rPr>
            </w:pPr>
            <w:r w:rsidDel="00000000" w:rsidR="00000000" w:rsidRPr="00000000">
              <w:rPr>
                <w:sz w:val="24"/>
                <w:szCs w:val="24"/>
                <w:rtl w:val="0"/>
              </w:rPr>
              <w:t xml:space="preserve">ASCE Citation Style Guide</w:t>
            </w:r>
          </w:p>
        </w:tc>
      </w:tr>
      <w:tr>
        <w:trPr>
          <w:cantSplit w:val="0"/>
          <w:trHeight w:val="795" w:hRule="atLeast"/>
          <w:tblHeader w:val="0"/>
        </w:trPr>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17">
            <w:pPr>
              <w:spacing w:after="220" w:before="220" w:lineRule="auto"/>
              <w:ind w:right="220"/>
              <w:rPr>
                <w:sz w:val="24"/>
                <w:szCs w:val="24"/>
              </w:rPr>
            </w:pPr>
            <w:r w:rsidDel="00000000" w:rsidR="00000000" w:rsidRPr="00000000">
              <w:rPr>
                <w:sz w:val="24"/>
                <w:szCs w:val="24"/>
                <w:rtl w:val="0"/>
              </w:rPr>
              <w:t xml:space="preserve">Various STEM disciplines</w:t>
            </w:r>
          </w:p>
        </w:tc>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18">
            <w:pPr>
              <w:spacing w:after="220" w:before="220" w:lineRule="auto"/>
              <w:ind w:right="220"/>
              <w:rPr>
                <w:sz w:val="24"/>
                <w:szCs w:val="24"/>
              </w:rPr>
            </w:pPr>
            <w:r w:rsidDel="00000000" w:rsidR="00000000" w:rsidRPr="00000000">
              <w:rPr>
                <w:sz w:val="24"/>
                <w:szCs w:val="24"/>
                <w:rtl w:val="0"/>
              </w:rPr>
              <w:t xml:space="preserve">The University of Chicago Press</w:t>
            </w:r>
          </w:p>
        </w:tc>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19">
            <w:pPr>
              <w:spacing w:after="220" w:before="220" w:lineRule="auto"/>
              <w:ind w:right="220"/>
              <w:rPr>
                <w:sz w:val="24"/>
                <w:szCs w:val="24"/>
              </w:rPr>
            </w:pPr>
            <w:r w:rsidDel="00000000" w:rsidR="00000000" w:rsidRPr="00000000">
              <w:rPr>
                <w:sz w:val="24"/>
                <w:szCs w:val="24"/>
                <w:rtl w:val="0"/>
              </w:rPr>
              <w:t xml:space="preserve">Chicago Manual of Style</w:t>
            </w:r>
          </w:p>
        </w:tc>
      </w:tr>
      <w:tr>
        <w:trPr>
          <w:cantSplit w:val="0"/>
          <w:trHeight w:val="1035" w:hRule="atLeast"/>
          <w:tblHeader w:val="0"/>
        </w:trPr>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1A">
            <w:pPr>
              <w:spacing w:after="220" w:before="220" w:lineRule="auto"/>
              <w:ind w:right="220"/>
              <w:rPr>
                <w:sz w:val="24"/>
                <w:szCs w:val="24"/>
              </w:rPr>
            </w:pPr>
            <w:r w:rsidDel="00000000" w:rsidR="00000000" w:rsidRPr="00000000">
              <w:rPr>
                <w:sz w:val="24"/>
                <w:szCs w:val="24"/>
                <w:rtl w:val="0"/>
              </w:rPr>
              <w:t xml:space="preserve">Biology and other various STEM disciplines</w:t>
            </w:r>
          </w:p>
        </w:tc>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1B">
            <w:pPr>
              <w:spacing w:after="220" w:before="220" w:lineRule="auto"/>
              <w:ind w:right="220"/>
              <w:rPr>
                <w:sz w:val="24"/>
                <w:szCs w:val="24"/>
              </w:rPr>
            </w:pPr>
            <w:r w:rsidDel="00000000" w:rsidR="00000000" w:rsidRPr="00000000">
              <w:rPr>
                <w:sz w:val="24"/>
                <w:szCs w:val="24"/>
                <w:rtl w:val="0"/>
              </w:rPr>
              <w:t xml:space="preserve">Council of Science Editors</w:t>
            </w:r>
          </w:p>
        </w:tc>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1C">
            <w:pPr>
              <w:spacing w:after="220" w:before="220" w:lineRule="auto"/>
              <w:ind w:right="220"/>
              <w:rPr>
                <w:sz w:val="24"/>
                <w:szCs w:val="24"/>
              </w:rPr>
            </w:pPr>
            <w:r w:rsidDel="00000000" w:rsidR="00000000" w:rsidRPr="00000000">
              <w:rPr>
                <w:sz w:val="24"/>
                <w:szCs w:val="24"/>
                <w:rtl w:val="0"/>
              </w:rPr>
              <w:t xml:space="preserve">CSE Citation Name-Year Style Guide</w:t>
            </w:r>
          </w:p>
        </w:tc>
      </w:tr>
      <w:tr>
        <w:trPr>
          <w:cantSplit w:val="0"/>
          <w:trHeight w:val="1665" w:hRule="atLeast"/>
          <w:tblHeader w:val="0"/>
        </w:trPr>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1D">
            <w:pPr>
              <w:spacing w:after="220" w:before="220" w:lineRule="auto"/>
              <w:ind w:right="220"/>
              <w:rPr>
                <w:sz w:val="24"/>
                <w:szCs w:val="24"/>
              </w:rPr>
            </w:pPr>
            <w:r w:rsidDel="00000000" w:rsidR="00000000" w:rsidRPr="00000000">
              <w:rPr>
                <w:sz w:val="24"/>
                <w:szCs w:val="24"/>
                <w:rtl w:val="0"/>
              </w:rPr>
              <w:t xml:space="preserve">Various engineering disciplines including:</w:t>
            </w:r>
          </w:p>
          <w:p w:rsidR="00000000" w:rsidDel="00000000" w:rsidP="00000000" w:rsidRDefault="00000000" w:rsidRPr="00000000" w14:paraId="0000001E">
            <w:pPr>
              <w:spacing w:after="380" w:before="220" w:lineRule="auto"/>
              <w:ind w:right="220"/>
              <w:rPr>
                <w:sz w:val="24"/>
                <w:szCs w:val="24"/>
              </w:rPr>
            </w:pPr>
            <w:r w:rsidDel="00000000" w:rsidR="00000000" w:rsidRPr="00000000">
              <w:rPr>
                <w:sz w:val="24"/>
                <w:szCs w:val="24"/>
                <w:rtl w:val="0"/>
              </w:rPr>
              <w:t xml:space="preserve">Civil Engineering, Biomedical Engineering, Electrical and Computer Engineering</w:t>
            </w:r>
          </w:p>
        </w:tc>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1F">
            <w:pPr>
              <w:spacing w:after="220" w:before="220" w:lineRule="auto"/>
              <w:ind w:right="220"/>
              <w:rPr>
                <w:sz w:val="24"/>
                <w:szCs w:val="24"/>
              </w:rPr>
            </w:pPr>
            <w:r w:rsidDel="00000000" w:rsidR="00000000" w:rsidRPr="00000000">
              <w:rPr>
                <w:sz w:val="24"/>
                <w:szCs w:val="24"/>
                <w:rtl w:val="0"/>
              </w:rPr>
              <w:t xml:space="preserve">Institute of Electrical and Electronics Engineers</w:t>
            </w:r>
          </w:p>
        </w:tc>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20">
            <w:pPr>
              <w:spacing w:after="220" w:before="220" w:lineRule="auto"/>
              <w:ind w:right="220"/>
              <w:rPr>
                <w:sz w:val="24"/>
                <w:szCs w:val="24"/>
              </w:rPr>
            </w:pPr>
            <w:r w:rsidDel="00000000" w:rsidR="00000000" w:rsidRPr="00000000">
              <w:rPr>
                <w:sz w:val="24"/>
                <w:szCs w:val="24"/>
                <w:rtl w:val="0"/>
              </w:rPr>
              <w:t xml:space="preserve">IEEE Editorial Style Manual</w:t>
            </w:r>
          </w:p>
        </w:tc>
      </w:tr>
      <w:tr>
        <w:trPr>
          <w:cantSplit w:val="0"/>
          <w:trHeight w:val="795" w:hRule="atLeast"/>
          <w:tblHeader w:val="0"/>
        </w:trPr>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21">
            <w:pPr>
              <w:spacing w:after="220" w:before="220" w:lineRule="auto"/>
              <w:ind w:right="220"/>
              <w:rPr>
                <w:sz w:val="24"/>
                <w:szCs w:val="24"/>
              </w:rPr>
            </w:pPr>
            <w:r w:rsidDel="00000000" w:rsidR="00000000" w:rsidRPr="00000000">
              <w:rPr>
                <w:sz w:val="24"/>
                <w:szCs w:val="24"/>
                <w:rtl w:val="0"/>
              </w:rPr>
              <w:t xml:space="preserve">Medical and Scientific journals; various Engineering disciplines</w:t>
            </w:r>
          </w:p>
        </w:tc>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22">
            <w:pPr>
              <w:spacing w:after="220" w:before="220" w:lineRule="auto"/>
              <w:ind w:right="220"/>
              <w:rPr>
                <w:sz w:val="24"/>
                <w:szCs w:val="24"/>
              </w:rPr>
            </w:pPr>
            <w:r w:rsidDel="00000000" w:rsidR="00000000" w:rsidRPr="00000000">
              <w:rPr>
                <w:sz w:val="24"/>
                <w:szCs w:val="24"/>
                <w:rtl w:val="0"/>
              </w:rPr>
              <w:t xml:space="preserve">International Committee of Medical Journal Editors</w:t>
            </w:r>
          </w:p>
        </w:tc>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23">
            <w:pPr>
              <w:spacing w:after="220" w:before="220" w:lineRule="auto"/>
              <w:ind w:right="220"/>
              <w:rPr>
                <w:sz w:val="24"/>
                <w:szCs w:val="24"/>
              </w:rPr>
            </w:pPr>
            <w:r w:rsidDel="00000000" w:rsidR="00000000" w:rsidRPr="00000000">
              <w:rPr>
                <w:sz w:val="24"/>
                <w:szCs w:val="24"/>
                <w:rtl w:val="0"/>
              </w:rPr>
              <w:t xml:space="preserve">Vancouver Style</w:t>
            </w:r>
          </w:p>
        </w:tc>
      </w:tr>
      <w:tr>
        <w:trPr>
          <w:cantSplit w:val="0"/>
          <w:trHeight w:val="795" w:hRule="atLeast"/>
          <w:tblHeader w:val="0"/>
        </w:trPr>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24">
            <w:pPr>
              <w:spacing w:after="220" w:before="220" w:lineRule="auto"/>
              <w:ind w:right="220"/>
              <w:rPr>
                <w:sz w:val="24"/>
                <w:szCs w:val="24"/>
              </w:rPr>
            </w:pPr>
            <w:r w:rsidDel="00000000" w:rsidR="00000000" w:rsidRPr="00000000">
              <w:rPr>
                <w:sz w:val="24"/>
                <w:szCs w:val="24"/>
                <w:rtl w:val="0"/>
              </w:rPr>
              <w:t xml:space="preserve">Physics</w:t>
            </w:r>
          </w:p>
        </w:tc>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25">
            <w:pPr>
              <w:spacing w:after="220" w:before="220" w:lineRule="auto"/>
              <w:ind w:right="220"/>
              <w:rPr>
                <w:sz w:val="24"/>
                <w:szCs w:val="24"/>
              </w:rPr>
            </w:pPr>
            <w:r w:rsidDel="00000000" w:rsidR="00000000" w:rsidRPr="00000000">
              <w:rPr>
                <w:sz w:val="24"/>
                <w:szCs w:val="24"/>
                <w:rtl w:val="0"/>
              </w:rPr>
              <w:t xml:space="preserve">American Institute of Physics</w:t>
            </w:r>
          </w:p>
        </w:tc>
        <w:tc>
          <w:tcPr>
            <w:tcBorders>
              <w:top w:color="aaaaaa" w:space="0" w:sz="6" w:val="single"/>
              <w:left w:color="aaaaaa" w:space="0" w:sz="6" w:val="single"/>
              <w:bottom w:color="aaaaaa" w:space="0" w:sz="6" w:val="single"/>
              <w:right w:color="aaaaaa" w:space="0" w:sz="6" w:val="single"/>
            </w:tcBorders>
            <w:tcMar>
              <w:top w:w="160.0" w:type="dxa"/>
              <w:left w:w="160.0" w:type="dxa"/>
              <w:bottom w:w="160.0" w:type="dxa"/>
              <w:right w:w="160.0" w:type="dxa"/>
            </w:tcMar>
            <w:vAlign w:val="top"/>
          </w:tcPr>
          <w:p w:rsidR="00000000" w:rsidDel="00000000" w:rsidP="00000000" w:rsidRDefault="00000000" w:rsidRPr="00000000" w14:paraId="00000026">
            <w:pPr>
              <w:spacing w:after="220" w:before="220" w:lineRule="auto"/>
              <w:ind w:right="220"/>
              <w:rPr>
                <w:sz w:val="24"/>
                <w:szCs w:val="24"/>
              </w:rPr>
            </w:pPr>
            <w:r w:rsidDel="00000000" w:rsidR="00000000" w:rsidRPr="00000000">
              <w:rPr>
                <w:sz w:val="24"/>
                <w:szCs w:val="24"/>
                <w:rtl w:val="0"/>
              </w:rPr>
              <w:t xml:space="preserve">AIP Citation Style</w:t>
            </w:r>
          </w:p>
        </w:tc>
      </w:tr>
    </w:tbl>
    <w:p w:rsidR="00000000" w:rsidDel="00000000" w:rsidP="00000000" w:rsidRDefault="00000000" w:rsidRPr="00000000" w14:paraId="00000027">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28">
      <w:pPr>
        <w:shd w:fill="ffffff" w:val="clear"/>
        <w:spacing w:after="160" w:lineRule="auto"/>
        <w:rPr>
          <w:sz w:val="24"/>
          <w:szCs w:val="24"/>
        </w:rPr>
      </w:pPr>
      <w:r w:rsidDel="00000000" w:rsidR="00000000" w:rsidRPr="00000000">
        <w:rPr>
          <w:sz w:val="24"/>
          <w:szCs w:val="24"/>
          <w:rtl w:val="0"/>
        </w:rPr>
        <w:t xml:space="preserve">When deciding which style of citing to use, make sure you follow any directions you were given. Once you choose a style, you must stick to it throughout your whole article. It is very important to be consistent with your formatting; it makes it easier for the reader to follow!</w:t>
      </w:r>
    </w:p>
    <w:p w:rsidR="00000000" w:rsidDel="00000000" w:rsidP="00000000" w:rsidRDefault="00000000" w:rsidRPr="00000000" w14:paraId="00000029">
      <w:pPr>
        <w:shd w:fill="ffffff" w:val="clear"/>
        <w:spacing w:after="160" w:lineRule="auto"/>
        <w:rPr>
          <w:sz w:val="24"/>
          <w:szCs w:val="24"/>
        </w:rPr>
      </w:pPr>
      <w:r w:rsidDel="00000000" w:rsidR="00000000" w:rsidRPr="00000000">
        <w:rPr>
          <w:sz w:val="24"/>
          <w:szCs w:val="24"/>
          <w:rtl w:val="0"/>
        </w:rPr>
        <w:t xml:space="preserve">Check out UBC’s Library Tutorial on Citing Sources for a series of helpful videos!</w:t>
      </w:r>
    </w:p>
    <w:p w:rsidR="00000000" w:rsidDel="00000000" w:rsidP="00000000" w:rsidRDefault="00000000" w:rsidRPr="00000000" w14:paraId="0000002A">
      <w:pPr>
        <w:shd w:fill="ffffff" w:val="clear"/>
        <w:spacing w:after="160" w:lineRule="auto"/>
        <w:rPr>
          <w:b w:val="1"/>
          <w:sz w:val="24"/>
          <w:szCs w:val="24"/>
          <w:u w:val="single"/>
        </w:rPr>
      </w:pPr>
      <w:r w:rsidDel="00000000" w:rsidR="00000000" w:rsidRPr="00000000">
        <w:rPr>
          <w:rtl w:val="0"/>
        </w:rPr>
      </w:r>
    </w:p>
    <w:p w:rsidR="00000000" w:rsidDel="00000000" w:rsidP="00000000" w:rsidRDefault="00000000" w:rsidRPr="00000000" w14:paraId="0000002B">
      <w:pPr>
        <w:shd w:fill="ffffff" w:val="clear"/>
        <w:spacing w:after="160" w:lineRule="auto"/>
        <w:rPr>
          <w:b w:val="1"/>
          <w:sz w:val="24"/>
          <w:szCs w:val="24"/>
          <w:u w:val="single"/>
        </w:rPr>
      </w:pPr>
      <w:r w:rsidDel="00000000" w:rsidR="00000000" w:rsidRPr="00000000">
        <w:rPr>
          <w:b w:val="1"/>
          <w:sz w:val="24"/>
          <w:szCs w:val="24"/>
          <w:u w:val="single"/>
          <w:rtl w:val="0"/>
        </w:rPr>
        <w:t xml:space="preserve">What and When to Cite</w:t>
      </w:r>
    </w:p>
    <w:p w:rsidR="00000000" w:rsidDel="00000000" w:rsidP="00000000" w:rsidRDefault="00000000" w:rsidRPr="00000000" w14:paraId="0000002C">
      <w:pPr>
        <w:shd w:fill="ffffff" w:val="clear"/>
        <w:spacing w:after="160" w:line="276" w:lineRule="auto"/>
        <w:rPr>
          <w:sz w:val="24"/>
          <w:szCs w:val="24"/>
        </w:rPr>
      </w:pPr>
      <w:r w:rsidDel="00000000" w:rsidR="00000000" w:rsidRPr="00000000">
        <w:rPr>
          <w:sz w:val="24"/>
          <w:szCs w:val="24"/>
          <w:rtl w:val="0"/>
        </w:rPr>
        <w:t xml:space="preserve">It can be difficult to know when and what to cite. You always need to cite:</w:t>
      </w:r>
    </w:p>
    <w:p w:rsidR="00000000" w:rsidDel="00000000" w:rsidP="00000000" w:rsidRDefault="00000000" w:rsidRPr="00000000" w14:paraId="0000002D">
      <w:pPr>
        <w:numPr>
          <w:ilvl w:val="0"/>
          <w:numId w:val="3"/>
        </w:numPr>
        <w:shd w:fill="ffffff" w:val="clear"/>
        <w:spacing w:after="0" w:afterAutospacing="0" w:line="276" w:lineRule="auto"/>
        <w:ind w:left="1100" w:hanging="360"/>
        <w:rPr>
          <w:color w:val="000000"/>
          <w:sz w:val="24"/>
          <w:szCs w:val="24"/>
        </w:rPr>
      </w:pPr>
      <w:r w:rsidDel="00000000" w:rsidR="00000000" w:rsidRPr="00000000">
        <w:rPr>
          <w:sz w:val="24"/>
          <w:szCs w:val="24"/>
          <w:rtl w:val="0"/>
        </w:rPr>
        <w:t xml:space="preserve">Ideas, concepts, opinions of others</w:t>
      </w:r>
    </w:p>
    <w:p w:rsidR="00000000" w:rsidDel="00000000" w:rsidP="00000000" w:rsidRDefault="00000000" w:rsidRPr="00000000" w14:paraId="0000002E">
      <w:pPr>
        <w:numPr>
          <w:ilvl w:val="0"/>
          <w:numId w:val="3"/>
        </w:numPr>
        <w:shd w:fill="ffffff" w:val="clear"/>
        <w:spacing w:after="0" w:afterAutospacing="0" w:line="276" w:lineRule="auto"/>
        <w:ind w:left="1100" w:hanging="360"/>
        <w:rPr>
          <w:color w:val="000000"/>
          <w:sz w:val="24"/>
          <w:szCs w:val="24"/>
        </w:rPr>
      </w:pPr>
      <w:r w:rsidDel="00000000" w:rsidR="00000000" w:rsidRPr="00000000">
        <w:rPr>
          <w:sz w:val="24"/>
          <w:szCs w:val="24"/>
          <w:rtl w:val="0"/>
        </w:rPr>
        <w:t xml:space="preserve">Direct quotes, summaries, and paraphrases</w:t>
      </w:r>
    </w:p>
    <w:p w:rsidR="00000000" w:rsidDel="00000000" w:rsidP="00000000" w:rsidRDefault="00000000" w:rsidRPr="00000000" w14:paraId="0000002F">
      <w:pPr>
        <w:numPr>
          <w:ilvl w:val="0"/>
          <w:numId w:val="3"/>
        </w:numPr>
        <w:shd w:fill="ffffff" w:val="clear"/>
        <w:spacing w:after="0" w:afterAutospacing="0" w:line="276" w:lineRule="auto"/>
        <w:ind w:left="1100" w:hanging="360"/>
        <w:rPr>
          <w:color w:val="000000"/>
          <w:sz w:val="24"/>
          <w:szCs w:val="24"/>
        </w:rPr>
      </w:pPr>
      <w:r w:rsidDel="00000000" w:rsidR="00000000" w:rsidRPr="00000000">
        <w:rPr>
          <w:sz w:val="24"/>
          <w:szCs w:val="24"/>
          <w:rtl w:val="0"/>
        </w:rPr>
        <w:t xml:space="preserve">Facts used as evidence</w:t>
      </w:r>
    </w:p>
    <w:p w:rsidR="00000000" w:rsidDel="00000000" w:rsidP="00000000" w:rsidRDefault="00000000" w:rsidRPr="00000000" w14:paraId="00000030">
      <w:pPr>
        <w:numPr>
          <w:ilvl w:val="0"/>
          <w:numId w:val="3"/>
        </w:numPr>
        <w:shd w:fill="ffffff" w:val="clear"/>
        <w:spacing w:after="0" w:afterAutospacing="0" w:line="276" w:lineRule="auto"/>
        <w:ind w:left="1100" w:hanging="360"/>
        <w:rPr>
          <w:color w:val="000000"/>
          <w:sz w:val="24"/>
          <w:szCs w:val="24"/>
        </w:rPr>
      </w:pPr>
      <w:r w:rsidDel="00000000" w:rsidR="00000000" w:rsidRPr="00000000">
        <w:rPr>
          <w:sz w:val="24"/>
          <w:szCs w:val="24"/>
          <w:rtl w:val="0"/>
        </w:rPr>
        <w:t xml:space="preserve">Tables, graphs, or figures produced by anyone but yourself</w:t>
      </w:r>
    </w:p>
    <w:p w:rsidR="00000000" w:rsidDel="00000000" w:rsidP="00000000" w:rsidRDefault="00000000" w:rsidRPr="00000000" w14:paraId="00000031">
      <w:pPr>
        <w:numPr>
          <w:ilvl w:val="0"/>
          <w:numId w:val="3"/>
        </w:numPr>
        <w:shd w:fill="ffffff" w:val="clear"/>
        <w:spacing w:after="220" w:line="276" w:lineRule="auto"/>
        <w:ind w:left="1100" w:hanging="360"/>
        <w:rPr>
          <w:color w:val="000000"/>
          <w:sz w:val="24"/>
          <w:szCs w:val="24"/>
        </w:rPr>
      </w:pPr>
      <w:r w:rsidDel="00000000" w:rsidR="00000000" w:rsidRPr="00000000">
        <w:rPr>
          <w:sz w:val="24"/>
          <w:szCs w:val="24"/>
          <w:rtl w:val="0"/>
        </w:rPr>
        <w:t xml:space="preserve">Specific statistics or data</w:t>
      </w:r>
    </w:p>
    <w:p w:rsidR="00000000" w:rsidDel="00000000" w:rsidP="00000000" w:rsidRDefault="00000000" w:rsidRPr="00000000" w14:paraId="00000032">
      <w:pPr>
        <w:shd w:fill="ffffff" w:val="clear"/>
        <w:spacing w:after="160" w:line="276" w:lineRule="auto"/>
        <w:rPr>
          <w:sz w:val="24"/>
          <w:szCs w:val="24"/>
        </w:rPr>
      </w:pPr>
      <w:r w:rsidDel="00000000" w:rsidR="00000000" w:rsidRPr="00000000">
        <w:rPr>
          <w:sz w:val="24"/>
          <w:szCs w:val="24"/>
          <w:rtl w:val="0"/>
        </w:rPr>
        <w:t xml:space="preserve">You may have heard that you don’t need to cite your source when the information you’re including is common knowledge. Generally, common knowledge can be understood as information that an average reader would accept without having to look up. This includes:</w:t>
      </w:r>
    </w:p>
    <w:p w:rsidR="00000000" w:rsidDel="00000000" w:rsidP="00000000" w:rsidRDefault="00000000" w:rsidRPr="00000000" w14:paraId="00000033">
      <w:pPr>
        <w:numPr>
          <w:ilvl w:val="0"/>
          <w:numId w:val="1"/>
        </w:numPr>
        <w:shd w:fill="ffffff" w:val="clear"/>
        <w:spacing w:after="0" w:afterAutospacing="0" w:line="276" w:lineRule="auto"/>
        <w:ind w:left="1100" w:hanging="360"/>
        <w:rPr>
          <w:color w:val="000000"/>
          <w:sz w:val="24"/>
          <w:szCs w:val="24"/>
        </w:rPr>
      </w:pPr>
      <w:r w:rsidDel="00000000" w:rsidR="00000000" w:rsidRPr="00000000">
        <w:rPr>
          <w:sz w:val="24"/>
          <w:szCs w:val="24"/>
          <w:rtl w:val="0"/>
        </w:rPr>
        <w:t xml:space="preserve">Information that most people know (such as that water freezes at 0 degrees Celsius),</w:t>
      </w:r>
    </w:p>
    <w:p w:rsidR="00000000" w:rsidDel="00000000" w:rsidP="00000000" w:rsidRDefault="00000000" w:rsidRPr="00000000" w14:paraId="00000034">
      <w:pPr>
        <w:numPr>
          <w:ilvl w:val="0"/>
          <w:numId w:val="1"/>
        </w:numPr>
        <w:shd w:fill="ffffff" w:val="clear"/>
        <w:spacing w:after="0" w:afterAutospacing="0" w:line="276" w:lineRule="auto"/>
        <w:ind w:left="1100" w:hanging="360"/>
        <w:rPr>
          <w:color w:val="000000"/>
          <w:sz w:val="24"/>
          <w:szCs w:val="24"/>
        </w:rPr>
      </w:pPr>
      <w:r w:rsidDel="00000000" w:rsidR="00000000" w:rsidRPr="00000000">
        <w:rPr>
          <w:sz w:val="24"/>
          <w:szCs w:val="24"/>
          <w:rtl w:val="0"/>
        </w:rPr>
        <w:t xml:space="preserve">Information shared by a cultural or national group (such as the names of Canadian prime ministers)</w:t>
      </w:r>
    </w:p>
    <w:p w:rsidR="00000000" w:rsidDel="00000000" w:rsidP="00000000" w:rsidRDefault="00000000" w:rsidRPr="00000000" w14:paraId="00000035">
      <w:pPr>
        <w:numPr>
          <w:ilvl w:val="0"/>
          <w:numId w:val="1"/>
        </w:numPr>
        <w:shd w:fill="ffffff" w:val="clear"/>
        <w:spacing w:after="220" w:line="276" w:lineRule="auto"/>
        <w:ind w:left="1100" w:hanging="360"/>
        <w:rPr>
          <w:color w:val="000000"/>
          <w:sz w:val="24"/>
          <w:szCs w:val="24"/>
        </w:rPr>
      </w:pPr>
      <w:r w:rsidDel="00000000" w:rsidR="00000000" w:rsidRPr="00000000">
        <w:rPr>
          <w:sz w:val="24"/>
          <w:szCs w:val="24"/>
          <w:rtl w:val="0"/>
        </w:rPr>
        <w:t xml:space="preserve">Knowledge shared by members of a field or discipline (such as that a double bond is stronger than a single bond)</w:t>
      </w:r>
    </w:p>
    <w:p w:rsidR="00000000" w:rsidDel="00000000" w:rsidP="00000000" w:rsidRDefault="00000000" w:rsidRPr="00000000" w14:paraId="00000036">
      <w:pPr>
        <w:shd w:fill="ffffff" w:val="clear"/>
        <w:spacing w:after="160" w:line="276" w:lineRule="auto"/>
        <w:rPr>
          <w:sz w:val="24"/>
          <w:szCs w:val="24"/>
        </w:rPr>
      </w:pPr>
      <w:r w:rsidDel="00000000" w:rsidR="00000000" w:rsidRPr="00000000">
        <w:rPr>
          <w:sz w:val="24"/>
          <w:szCs w:val="24"/>
          <w:rtl w:val="0"/>
        </w:rPr>
        <w:t xml:space="preserve">However, it can be difficult to know what counts as common knowledge, because an “average reader” is audience and discipline specific. What might be common knowledge in one cultural group or academic discipline may not be common knowledge in another. Here are some ways to determine if something is common knowledge or not:</w:t>
      </w:r>
    </w:p>
    <w:p w:rsidR="00000000" w:rsidDel="00000000" w:rsidP="00000000" w:rsidRDefault="00000000" w:rsidRPr="00000000" w14:paraId="00000037">
      <w:pPr>
        <w:numPr>
          <w:ilvl w:val="0"/>
          <w:numId w:val="5"/>
        </w:numPr>
        <w:shd w:fill="ffffff" w:val="clear"/>
        <w:spacing w:after="0" w:afterAutospacing="0" w:line="276" w:lineRule="auto"/>
        <w:ind w:left="1100" w:hanging="360"/>
        <w:rPr>
          <w:color w:val="000000"/>
          <w:sz w:val="24"/>
          <w:szCs w:val="24"/>
        </w:rPr>
      </w:pPr>
      <w:r w:rsidDel="00000000" w:rsidR="00000000" w:rsidRPr="00000000">
        <w:rPr>
          <w:sz w:val="24"/>
          <w:szCs w:val="24"/>
          <w:rtl w:val="0"/>
        </w:rPr>
        <w:t xml:space="preserve">Ask: who is my audience and what can I assume they already know?</w:t>
      </w:r>
    </w:p>
    <w:p w:rsidR="00000000" w:rsidDel="00000000" w:rsidP="00000000" w:rsidRDefault="00000000" w:rsidRPr="00000000" w14:paraId="00000038">
      <w:pPr>
        <w:numPr>
          <w:ilvl w:val="0"/>
          <w:numId w:val="5"/>
        </w:numPr>
        <w:shd w:fill="ffffff" w:val="clear"/>
        <w:spacing w:after="0" w:afterAutospacing="0" w:line="276" w:lineRule="auto"/>
        <w:ind w:left="1100" w:hanging="360"/>
        <w:rPr>
          <w:color w:val="000000"/>
          <w:sz w:val="24"/>
          <w:szCs w:val="24"/>
        </w:rPr>
      </w:pPr>
      <w:r w:rsidDel="00000000" w:rsidR="00000000" w:rsidRPr="00000000">
        <w:rPr>
          <w:sz w:val="24"/>
          <w:szCs w:val="24"/>
          <w:rtl w:val="0"/>
        </w:rPr>
        <w:t xml:space="preserve">See if the information is cited or not in academic scholarship. If the information is cited in at least three different sources, it’s probably common knowledge</w:t>
      </w:r>
    </w:p>
    <w:p w:rsidR="00000000" w:rsidDel="00000000" w:rsidP="00000000" w:rsidRDefault="00000000" w:rsidRPr="00000000" w14:paraId="00000039">
      <w:pPr>
        <w:numPr>
          <w:ilvl w:val="0"/>
          <w:numId w:val="5"/>
        </w:numPr>
        <w:shd w:fill="ffffff" w:val="clear"/>
        <w:spacing w:after="220" w:line="276" w:lineRule="auto"/>
        <w:ind w:left="1100" w:hanging="360"/>
        <w:rPr>
          <w:color w:val="000000"/>
          <w:sz w:val="24"/>
          <w:szCs w:val="24"/>
        </w:rPr>
      </w:pPr>
      <w:r w:rsidDel="00000000" w:rsidR="00000000" w:rsidRPr="00000000">
        <w:rPr>
          <w:sz w:val="24"/>
          <w:szCs w:val="24"/>
          <w:rtl w:val="0"/>
        </w:rPr>
        <w:t xml:space="preserve">If you are not sure, assume the information is not common knowledge and cite. It’s always better to over-cite than under-cite.</w:t>
      </w:r>
      <w:r w:rsidDel="00000000" w:rsidR="00000000" w:rsidRPr="00000000">
        <w:rPr>
          <w:rtl w:val="0"/>
        </w:rPr>
      </w:r>
    </w:p>
    <w:p w:rsidR="00000000" w:rsidDel="00000000" w:rsidP="00000000" w:rsidRDefault="00000000" w:rsidRPr="00000000" w14:paraId="0000003A">
      <w:pPr>
        <w:shd w:fill="ffffff" w:val="clear"/>
        <w:spacing w:after="160" w:lineRule="auto"/>
        <w:rPr>
          <w:b w:val="1"/>
          <w:sz w:val="24"/>
          <w:szCs w:val="24"/>
          <w:u w:val="single"/>
        </w:rPr>
      </w:pPr>
      <w:r w:rsidDel="00000000" w:rsidR="00000000" w:rsidRPr="00000000">
        <w:rPr>
          <w:rtl w:val="0"/>
        </w:rPr>
      </w:r>
    </w:p>
    <w:p w:rsidR="00000000" w:rsidDel="00000000" w:rsidP="00000000" w:rsidRDefault="00000000" w:rsidRPr="00000000" w14:paraId="0000003B">
      <w:pPr>
        <w:shd w:fill="ffffff" w:val="clear"/>
        <w:spacing w:after="160" w:lineRule="auto"/>
        <w:rPr>
          <w:b w:val="1"/>
          <w:sz w:val="24"/>
          <w:szCs w:val="24"/>
          <w:u w:val="single"/>
        </w:rPr>
      </w:pPr>
      <w:r w:rsidDel="00000000" w:rsidR="00000000" w:rsidRPr="00000000">
        <w:rPr>
          <w:b w:val="1"/>
          <w:sz w:val="24"/>
          <w:szCs w:val="24"/>
          <w:u w:val="single"/>
          <w:rtl w:val="0"/>
        </w:rPr>
        <w:t xml:space="preserve">Paraphrasing and Quoting</w:t>
      </w:r>
    </w:p>
    <w:p w:rsidR="00000000" w:rsidDel="00000000" w:rsidP="00000000" w:rsidRDefault="00000000" w:rsidRPr="00000000" w14:paraId="0000003C">
      <w:pPr>
        <w:shd w:fill="ffffff" w:val="clear"/>
        <w:spacing w:after="160" w:line="276" w:lineRule="auto"/>
        <w:rPr>
          <w:sz w:val="24"/>
          <w:szCs w:val="24"/>
        </w:rPr>
      </w:pPr>
      <w:r w:rsidDel="00000000" w:rsidR="00000000" w:rsidRPr="00000000">
        <w:rPr>
          <w:sz w:val="24"/>
          <w:szCs w:val="24"/>
          <w:rtl w:val="0"/>
        </w:rPr>
        <w:t xml:space="preserve">Paraphrasing means putting something that someone else has written into your own words, phrasing and sentence structure.</w:t>
      </w:r>
    </w:p>
    <w:p w:rsidR="00000000" w:rsidDel="00000000" w:rsidP="00000000" w:rsidRDefault="00000000" w:rsidRPr="00000000" w14:paraId="0000003D">
      <w:pPr>
        <w:numPr>
          <w:ilvl w:val="0"/>
          <w:numId w:val="2"/>
        </w:numPr>
        <w:shd w:fill="ffffff" w:val="clear"/>
        <w:spacing w:after="0" w:afterAutospacing="0" w:line="276" w:lineRule="auto"/>
        <w:ind w:left="1100" w:hanging="360"/>
        <w:rPr>
          <w:color w:val="000000"/>
          <w:sz w:val="24"/>
          <w:szCs w:val="24"/>
        </w:rPr>
      </w:pPr>
      <w:r w:rsidDel="00000000" w:rsidR="00000000" w:rsidRPr="00000000">
        <w:rPr>
          <w:sz w:val="24"/>
          <w:szCs w:val="24"/>
          <w:rtl w:val="0"/>
        </w:rPr>
        <w:t xml:space="preserve">Because you’re presenting someone else’s ideas (even though you’re not saying it in exactly the same way), it’s important to acknowledge this with a citation.</w:t>
      </w:r>
    </w:p>
    <w:p w:rsidR="00000000" w:rsidDel="00000000" w:rsidP="00000000" w:rsidRDefault="00000000" w:rsidRPr="00000000" w14:paraId="0000003E">
      <w:pPr>
        <w:numPr>
          <w:ilvl w:val="0"/>
          <w:numId w:val="2"/>
        </w:numPr>
        <w:shd w:fill="ffffff" w:val="clear"/>
        <w:spacing w:after="220" w:line="276" w:lineRule="auto"/>
        <w:ind w:left="1100" w:hanging="360"/>
        <w:rPr>
          <w:color w:val="000000"/>
          <w:sz w:val="24"/>
          <w:szCs w:val="24"/>
        </w:rPr>
      </w:pPr>
      <w:r w:rsidDel="00000000" w:rsidR="00000000" w:rsidRPr="00000000">
        <w:rPr>
          <w:sz w:val="24"/>
          <w:szCs w:val="24"/>
          <w:rtl w:val="0"/>
        </w:rPr>
        <w:t xml:space="preserve">Paraphrasing is useful because it shows that you have an understanding of the material and it allows you to keep your writing concise.</w:t>
      </w:r>
    </w:p>
    <w:p w:rsidR="00000000" w:rsidDel="00000000" w:rsidP="00000000" w:rsidRDefault="00000000" w:rsidRPr="00000000" w14:paraId="0000003F">
      <w:pPr>
        <w:shd w:fill="ffffff" w:val="clear"/>
        <w:spacing w:after="160" w:line="276" w:lineRule="auto"/>
        <w:rPr>
          <w:sz w:val="24"/>
          <w:szCs w:val="24"/>
        </w:rPr>
      </w:pPr>
      <w:r w:rsidDel="00000000" w:rsidR="00000000" w:rsidRPr="00000000">
        <w:rPr>
          <w:sz w:val="24"/>
          <w:szCs w:val="24"/>
          <w:rtl w:val="0"/>
        </w:rPr>
        <w:t xml:space="preserve">Quoting means reproducing the same words that someone else has written.</w:t>
      </w:r>
    </w:p>
    <w:p w:rsidR="00000000" w:rsidDel="00000000" w:rsidP="00000000" w:rsidRDefault="00000000" w:rsidRPr="00000000" w14:paraId="00000040">
      <w:pPr>
        <w:numPr>
          <w:ilvl w:val="0"/>
          <w:numId w:val="4"/>
        </w:numPr>
        <w:shd w:fill="ffffff" w:val="clear"/>
        <w:spacing w:after="0" w:afterAutospacing="0" w:line="276" w:lineRule="auto"/>
        <w:ind w:left="1100" w:hanging="360"/>
        <w:rPr>
          <w:color w:val="000000"/>
          <w:sz w:val="24"/>
          <w:szCs w:val="24"/>
        </w:rPr>
      </w:pPr>
      <w:r w:rsidDel="00000000" w:rsidR="00000000" w:rsidRPr="00000000">
        <w:rPr>
          <w:sz w:val="24"/>
          <w:szCs w:val="24"/>
          <w:rtl w:val="0"/>
        </w:rPr>
        <w:t xml:space="preserve">Not only does a quotation need an in-text citation with a page number, but it also needs to be presented in quotation marks.</w:t>
      </w:r>
    </w:p>
    <w:p w:rsidR="00000000" w:rsidDel="00000000" w:rsidP="00000000" w:rsidRDefault="00000000" w:rsidRPr="00000000" w14:paraId="00000041">
      <w:pPr>
        <w:numPr>
          <w:ilvl w:val="0"/>
          <w:numId w:val="4"/>
        </w:numPr>
        <w:shd w:fill="ffffff" w:val="clear"/>
        <w:spacing w:after="220" w:line="276" w:lineRule="auto"/>
        <w:ind w:left="1100" w:hanging="360"/>
        <w:rPr>
          <w:color w:val="000000"/>
          <w:sz w:val="24"/>
          <w:szCs w:val="24"/>
        </w:rPr>
      </w:pPr>
      <w:r w:rsidDel="00000000" w:rsidR="00000000" w:rsidRPr="00000000">
        <w:rPr>
          <w:sz w:val="24"/>
          <w:szCs w:val="24"/>
          <w:rtl w:val="0"/>
        </w:rPr>
        <w:t xml:space="preserve">Use quotations if a piece of information is well-phrased or unique and cannot be simply rephrased to have the same effect. For example, don’t write: Cliff et al. (1989) reported that “A total of 591 great white sharks </w:t>
      </w:r>
      <w:r w:rsidDel="00000000" w:rsidR="00000000" w:rsidRPr="00000000">
        <w:rPr>
          <w:i w:val="1"/>
          <w:sz w:val="24"/>
          <w:szCs w:val="24"/>
          <w:rtl w:val="0"/>
        </w:rPr>
        <w:t xml:space="preserve">Carcharodon carcharias</w:t>
      </w:r>
      <w:r w:rsidDel="00000000" w:rsidR="00000000" w:rsidRPr="00000000">
        <w:rPr>
          <w:sz w:val="24"/>
          <w:szCs w:val="24"/>
          <w:rtl w:val="0"/>
        </w:rPr>
        <w:t xml:space="preserve"> were caught between 1974 and 1988 in the gill nets which are maintained along the Natal coast to protect bathers from shark attack” (p. 77).  Instead, write something like: Nearly 600 great white sharks were caught in gill nets along the Natal coast between 1974 and 1988 (Cliff et al., 1989, p. 77).</w:t>
      </w:r>
      <w:r w:rsidDel="00000000" w:rsidR="00000000" w:rsidRPr="00000000">
        <w:rPr>
          <w:rtl w:val="0"/>
        </w:rPr>
      </w:r>
    </w:p>
    <w:p w:rsidR="00000000" w:rsidDel="00000000" w:rsidP="00000000" w:rsidRDefault="00000000" w:rsidRPr="00000000" w14:paraId="00000042">
      <w:pPr>
        <w:shd w:fill="ffffff" w:val="clear"/>
        <w:spacing w:after="160" w:lineRule="auto"/>
        <w:rPr>
          <w:b w:val="1"/>
          <w:sz w:val="24"/>
          <w:szCs w:val="24"/>
          <w:u w:val="single"/>
        </w:rPr>
      </w:pPr>
      <w:r w:rsidDel="00000000" w:rsidR="00000000" w:rsidRPr="00000000">
        <w:rPr>
          <w:rtl w:val="0"/>
        </w:rPr>
      </w:r>
    </w:p>
    <w:p w:rsidR="00000000" w:rsidDel="00000000" w:rsidP="00000000" w:rsidRDefault="00000000" w:rsidRPr="00000000" w14:paraId="00000043">
      <w:pPr>
        <w:shd w:fill="ffffff" w:val="clear"/>
        <w:spacing w:after="160" w:lineRule="auto"/>
        <w:rPr>
          <w:b w:val="1"/>
          <w:color w:val="222222"/>
          <w:sz w:val="21"/>
          <w:szCs w:val="21"/>
        </w:rPr>
      </w:pPr>
      <w:r w:rsidDel="00000000" w:rsidR="00000000" w:rsidRPr="00000000">
        <w:rPr>
          <w:b w:val="1"/>
          <w:sz w:val="24"/>
          <w:szCs w:val="24"/>
          <w:u w:val="single"/>
          <w:rtl w:val="0"/>
        </w:rPr>
        <w:t xml:space="preserve">Reporting Expressions</w:t>
      </w:r>
      <w:r w:rsidDel="00000000" w:rsidR="00000000" w:rsidRPr="00000000">
        <w:rPr>
          <w:rtl w:val="0"/>
        </w:rPr>
      </w:r>
    </w:p>
    <w:p w:rsidR="00000000" w:rsidDel="00000000" w:rsidP="00000000" w:rsidRDefault="00000000" w:rsidRPr="00000000" w14:paraId="00000044">
      <w:pPr>
        <w:shd w:fill="ffffff" w:val="clear"/>
        <w:spacing w:after="160" w:lineRule="auto"/>
        <w:rPr>
          <w:sz w:val="24"/>
          <w:szCs w:val="24"/>
        </w:rPr>
      </w:pPr>
      <w:r w:rsidDel="00000000" w:rsidR="00000000" w:rsidRPr="00000000">
        <w:rPr>
          <w:sz w:val="24"/>
          <w:szCs w:val="24"/>
          <w:rtl w:val="0"/>
        </w:rPr>
        <w:t xml:space="preserve">One way of making sure that you’re signalling to your reader when you’re including someone else’s work is to use something called a “reporting expression.” Reporting expressions signal that you are summarizing or reporting what someone else has written. Examples of reporting expressions include words such as writes, argues, finds, demonstrates, suggests, claims, explains, or shows.</w:t>
      </w:r>
    </w:p>
    <w:p w:rsidR="00000000" w:rsidDel="00000000" w:rsidP="00000000" w:rsidRDefault="00000000" w:rsidRPr="00000000" w14:paraId="00000045">
      <w:pPr>
        <w:shd w:fill="ffffff" w:val="clear"/>
        <w:spacing w:after="160" w:lineRule="auto"/>
        <w:rPr>
          <w:sz w:val="24"/>
          <w:szCs w:val="24"/>
        </w:rPr>
      </w:pPr>
      <w:r w:rsidDel="00000000" w:rsidR="00000000" w:rsidRPr="00000000">
        <w:rPr>
          <w:sz w:val="24"/>
          <w:szCs w:val="24"/>
          <w:rtl w:val="0"/>
        </w:rPr>
        <w:t xml:space="preserve">Reporting expressions also allow you as a writer to take a position. For example, writing “Reilly (2010) </w:t>
      </w:r>
      <w:r w:rsidDel="00000000" w:rsidR="00000000" w:rsidRPr="00000000">
        <w:rPr>
          <w:i w:val="1"/>
          <w:sz w:val="24"/>
          <w:szCs w:val="24"/>
          <w:rtl w:val="0"/>
        </w:rPr>
        <w:t xml:space="preserve">shows</w:t>
      </w:r>
      <w:r w:rsidDel="00000000" w:rsidR="00000000" w:rsidRPr="00000000">
        <w:rPr>
          <w:sz w:val="24"/>
          <w:szCs w:val="24"/>
          <w:rtl w:val="0"/>
        </w:rPr>
        <w:t xml:space="preserve"> that more than one cup of coffee slows response rates in people” is different than writing “Reilly (2010) </w:t>
      </w:r>
      <w:r w:rsidDel="00000000" w:rsidR="00000000" w:rsidRPr="00000000">
        <w:rPr>
          <w:i w:val="1"/>
          <w:sz w:val="24"/>
          <w:szCs w:val="24"/>
          <w:rtl w:val="0"/>
        </w:rPr>
        <w:t xml:space="preserve">suggests</w:t>
      </w:r>
      <w:r w:rsidDel="00000000" w:rsidR="00000000" w:rsidRPr="00000000">
        <w:rPr>
          <w:sz w:val="24"/>
          <w:szCs w:val="24"/>
          <w:rtl w:val="0"/>
        </w:rPr>
        <w:t xml:space="preserve"> that more than one cup of coffee slows response rates in people.” Here, “shows” implies that you agree with Reilly, whereas “suggests” implies that you might have some uncertainty about Reilly’s research. It’s important to choose your reporting expressions carefully!</w:t>
      </w:r>
    </w:p>
    <w:p w:rsidR="00000000" w:rsidDel="00000000" w:rsidP="00000000" w:rsidRDefault="00000000" w:rsidRPr="00000000" w14:paraId="00000046">
      <w:pPr>
        <w:shd w:fill="ffffff" w:val="clear"/>
        <w:spacing w:after="160" w:lineRule="auto"/>
        <w:rPr>
          <w:sz w:val="24"/>
          <w:szCs w:val="24"/>
        </w:rPr>
      </w:pPr>
      <w:r w:rsidDel="00000000" w:rsidR="00000000" w:rsidRPr="00000000">
        <w:rPr>
          <w:sz w:val="24"/>
          <w:szCs w:val="24"/>
          <w:rtl w:val="0"/>
        </w:rPr>
        <w:t xml:space="preserve">A helpful hint with citing: if you’re using a reporting expression, you still need to include an in-text citation. This is because you’re reporting what someone else has written, and you need to be sure to credit them for their work.</w:t>
      </w:r>
      <w:r w:rsidDel="00000000" w:rsidR="00000000" w:rsidRPr="00000000">
        <w:rPr>
          <w:rtl w:val="0"/>
        </w:rPr>
      </w:r>
    </w:p>
    <w:p w:rsidR="00000000" w:rsidDel="00000000" w:rsidP="00000000" w:rsidRDefault="00000000" w:rsidRPr="00000000" w14:paraId="00000047">
      <w:pPr>
        <w:spacing w:after="240" w:before="240" w:lineRule="auto"/>
        <w:rPr>
          <w:b w:val="1"/>
          <w:sz w:val="24"/>
          <w:szCs w:val="24"/>
          <w:u w:val="single"/>
        </w:rPr>
      </w:pPr>
      <w:r w:rsidDel="00000000" w:rsidR="00000000" w:rsidRPr="00000000">
        <w:rPr>
          <w:rtl w:val="0"/>
        </w:rPr>
      </w:r>
    </w:p>
    <w:p w:rsidR="00000000" w:rsidDel="00000000" w:rsidP="00000000" w:rsidRDefault="00000000" w:rsidRPr="00000000" w14:paraId="00000048">
      <w:pPr>
        <w:spacing w:after="240" w:before="240" w:lineRule="auto"/>
        <w:rPr>
          <w:b w:val="1"/>
          <w:sz w:val="24"/>
          <w:szCs w:val="24"/>
          <w:u w:val="single"/>
        </w:rPr>
      </w:pPr>
      <w:r w:rsidDel="00000000" w:rsidR="00000000" w:rsidRPr="00000000">
        <w:rPr>
          <w:b w:val="1"/>
          <w:sz w:val="24"/>
          <w:szCs w:val="24"/>
          <w:u w:val="single"/>
          <w:rtl w:val="0"/>
        </w:rPr>
        <w:t xml:space="preserve">References</w:t>
      </w:r>
    </w:p>
    <w:p w:rsidR="00000000" w:rsidDel="00000000" w:rsidP="00000000" w:rsidRDefault="00000000" w:rsidRPr="00000000" w14:paraId="00000049">
      <w:pPr>
        <w:spacing w:after="240" w:before="240" w:lineRule="auto"/>
        <w:rPr>
          <w:sz w:val="24"/>
          <w:szCs w:val="24"/>
        </w:rPr>
      </w:pPr>
      <w:r w:rsidDel="00000000" w:rsidR="00000000" w:rsidRPr="00000000">
        <w:rPr>
          <w:sz w:val="24"/>
          <w:szCs w:val="24"/>
          <w:rtl w:val="0"/>
        </w:rPr>
        <w:t xml:space="preserve">Michael Hochberg, “Citing, Reading and Searching,” in An Editor's Guide to Writing and Publishing Science (Oxford University Press, 2019), 14.</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shd w:fill="ffffff" w:val="clear"/>
        <w:spacing w:after="160" w:lineRule="auto"/>
        <w:rPr>
          <w:b w:val="1"/>
          <w:color w:val="222222"/>
          <w:sz w:val="24"/>
          <w:szCs w:val="24"/>
          <w:u w:val="single"/>
        </w:rPr>
      </w:pPr>
      <w:r w:rsidDel="00000000" w:rsidR="00000000" w:rsidRPr="00000000">
        <w:rPr>
          <w:b w:val="1"/>
          <w:color w:val="222222"/>
          <w:sz w:val="24"/>
          <w:szCs w:val="24"/>
          <w:u w:val="single"/>
          <w:rtl w:val="0"/>
        </w:rPr>
        <w:t xml:space="preserve">Further reading:</w:t>
      </w:r>
    </w:p>
    <w:p w:rsidR="00000000" w:rsidDel="00000000" w:rsidP="00000000" w:rsidRDefault="00000000" w:rsidRPr="00000000" w14:paraId="0000004C">
      <w:pPr>
        <w:numPr>
          <w:ilvl w:val="0"/>
          <w:numId w:val="6"/>
        </w:numPr>
        <w:shd w:fill="ffffff" w:val="clear"/>
        <w:spacing w:after="0" w:afterAutospacing="0" w:line="276" w:lineRule="auto"/>
        <w:ind w:left="720" w:hanging="360"/>
        <w:rPr>
          <w:color w:val="000000"/>
          <w:sz w:val="24"/>
          <w:szCs w:val="24"/>
        </w:rPr>
      </w:pPr>
      <w:hyperlink r:id="rId7">
        <w:r w:rsidDel="00000000" w:rsidR="00000000" w:rsidRPr="00000000">
          <w:rPr>
            <w:sz w:val="24"/>
            <w:szCs w:val="24"/>
            <w:u w:val="single"/>
            <w:rtl w:val="0"/>
          </w:rPr>
          <w:t xml:space="preserve">BC Campus’ Technical Writing Essentials: Integrating Source Evidence Into Your Writing</w:t>
        </w:r>
      </w:hyperlink>
      <w:r w:rsidDel="00000000" w:rsidR="00000000" w:rsidRPr="00000000">
        <w:rPr>
          <w:rtl w:val="0"/>
        </w:rPr>
      </w:r>
    </w:p>
    <w:p w:rsidR="00000000" w:rsidDel="00000000" w:rsidP="00000000" w:rsidRDefault="00000000" w:rsidRPr="00000000" w14:paraId="0000004D">
      <w:pPr>
        <w:numPr>
          <w:ilvl w:val="0"/>
          <w:numId w:val="6"/>
        </w:numPr>
        <w:shd w:fill="ffffff" w:val="clear"/>
        <w:spacing w:after="0" w:afterAutospacing="0" w:line="276" w:lineRule="auto"/>
        <w:ind w:left="720" w:hanging="360"/>
        <w:rPr>
          <w:color w:val="000000"/>
          <w:sz w:val="24"/>
          <w:szCs w:val="24"/>
        </w:rPr>
      </w:pPr>
      <w:hyperlink r:id="rId8">
        <w:r w:rsidDel="00000000" w:rsidR="00000000" w:rsidRPr="00000000">
          <w:rPr>
            <w:sz w:val="24"/>
            <w:szCs w:val="24"/>
            <w:u w:val="single"/>
            <w:rtl w:val="0"/>
          </w:rPr>
          <w:t xml:space="preserve">Purdue Online Writing Lab’s guide on Research and Citation Resources</w:t>
        </w:r>
      </w:hyperlink>
      <w:r w:rsidDel="00000000" w:rsidR="00000000" w:rsidRPr="00000000">
        <w:rPr>
          <w:rtl w:val="0"/>
        </w:rPr>
      </w:r>
    </w:p>
    <w:p w:rsidR="00000000" w:rsidDel="00000000" w:rsidP="00000000" w:rsidRDefault="00000000" w:rsidRPr="00000000" w14:paraId="0000004E">
      <w:pPr>
        <w:numPr>
          <w:ilvl w:val="0"/>
          <w:numId w:val="6"/>
        </w:numPr>
        <w:shd w:fill="ffffff" w:val="clear"/>
        <w:spacing w:after="0" w:afterAutospacing="0" w:line="276" w:lineRule="auto"/>
        <w:ind w:left="720" w:hanging="360"/>
        <w:rPr>
          <w:color w:val="000000"/>
          <w:sz w:val="24"/>
          <w:szCs w:val="24"/>
        </w:rPr>
      </w:pPr>
      <w:hyperlink r:id="rId9">
        <w:r w:rsidDel="00000000" w:rsidR="00000000" w:rsidRPr="00000000">
          <w:rPr>
            <w:sz w:val="24"/>
            <w:szCs w:val="24"/>
            <w:u w:val="single"/>
            <w:rtl w:val="0"/>
          </w:rPr>
          <w:t xml:space="preserve">UBC Library’s ‘How to Cite’</w:t>
        </w:r>
      </w:hyperlink>
      <w:r w:rsidDel="00000000" w:rsidR="00000000" w:rsidRPr="00000000">
        <w:rPr>
          <w:rtl w:val="0"/>
        </w:rPr>
      </w:r>
    </w:p>
    <w:p w:rsidR="00000000" w:rsidDel="00000000" w:rsidP="00000000" w:rsidRDefault="00000000" w:rsidRPr="00000000" w14:paraId="0000004F">
      <w:pPr>
        <w:numPr>
          <w:ilvl w:val="0"/>
          <w:numId w:val="6"/>
        </w:numPr>
        <w:shd w:fill="ffffff" w:val="clear"/>
        <w:spacing w:after="0" w:afterAutospacing="0" w:line="276" w:lineRule="auto"/>
        <w:ind w:left="720" w:hanging="360"/>
        <w:rPr>
          <w:color w:val="000000"/>
          <w:sz w:val="24"/>
          <w:szCs w:val="24"/>
        </w:rPr>
      </w:pPr>
      <w:hyperlink r:id="rId10">
        <w:r w:rsidDel="00000000" w:rsidR="00000000" w:rsidRPr="00000000">
          <w:rPr>
            <w:sz w:val="24"/>
            <w:szCs w:val="24"/>
            <w:u w:val="single"/>
            <w:rtl w:val="0"/>
          </w:rPr>
          <w:t xml:space="preserve">UBC’s Using Evidence in your Research Paper: Quoting, Summarizing &amp; Paraphrasing</w:t>
        </w:r>
      </w:hyperlink>
      <w:r w:rsidDel="00000000" w:rsidR="00000000" w:rsidRPr="00000000">
        <w:rPr>
          <w:rtl w:val="0"/>
        </w:rPr>
      </w:r>
    </w:p>
    <w:p w:rsidR="00000000" w:rsidDel="00000000" w:rsidP="00000000" w:rsidRDefault="00000000" w:rsidRPr="00000000" w14:paraId="00000050">
      <w:pPr>
        <w:numPr>
          <w:ilvl w:val="0"/>
          <w:numId w:val="6"/>
        </w:numPr>
        <w:shd w:fill="ffffff" w:val="clear"/>
        <w:spacing w:after="220" w:line="276" w:lineRule="auto"/>
        <w:ind w:left="720" w:hanging="360"/>
        <w:rPr>
          <w:color w:val="000000"/>
          <w:sz w:val="24"/>
          <w:szCs w:val="24"/>
        </w:rPr>
      </w:pPr>
      <w:hyperlink r:id="rId11">
        <w:r w:rsidDel="00000000" w:rsidR="00000000" w:rsidRPr="00000000">
          <w:rPr>
            <w:sz w:val="24"/>
            <w:szCs w:val="24"/>
            <w:u w:val="single"/>
            <w:rtl w:val="0"/>
          </w:rPr>
          <w:t xml:space="preserve">Yale University’s When You Must Cite guide</w:t>
        </w:r>
      </w:hyperlink>
      <w:r w:rsidDel="00000000" w:rsidR="00000000" w:rsidRPr="00000000">
        <w:rPr>
          <w:rtl w:val="0"/>
        </w:rPr>
      </w:r>
    </w:p>
    <w:p w:rsidR="00000000" w:rsidDel="00000000" w:rsidP="00000000" w:rsidRDefault="00000000" w:rsidRPr="00000000" w14:paraId="00000051">
      <w:pPr>
        <w:shd w:fill="ffffff" w:val="clear"/>
        <w:spacing w:after="220" w:line="276" w:lineRule="auto"/>
        <w:ind w:left="0" w:firstLine="0"/>
        <w:rPr>
          <w:sz w:val="24"/>
          <w:szCs w:val="24"/>
          <w:u w:val="single"/>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9f9f9"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poorvucenter.yale.edu/undergraduates/using-sources/understanding-and-avoiding-plagiarism/warning-when-you-must-cite" TargetMode="External"/><Relationship Id="rId10" Type="http://schemas.openxmlformats.org/officeDocument/2006/relationships/hyperlink" Target="http://blogs.ubc.ca/wctest/files/2014/09/Quoting-Paraphrasing.pdf" TargetMode="External"/><Relationship Id="rId9" Type="http://schemas.openxmlformats.org/officeDocument/2006/relationships/hyperlink" Target="https://guides.library.ubc.ca/howtocite" TargetMode="External"/><Relationship Id="rId5" Type="http://schemas.openxmlformats.org/officeDocument/2006/relationships/styles" Target="styles.xml"/><Relationship Id="rId6" Type="http://schemas.openxmlformats.org/officeDocument/2006/relationships/hyperlink" Target="http://sciencewritingresources2020.sites.olt.ubc.ca/stem-writing-resources/academic-integrity-in-stem/academic-integrity/" TargetMode="External"/><Relationship Id="rId7" Type="http://schemas.openxmlformats.org/officeDocument/2006/relationships/hyperlink" Target="https://pressbooks.bccampus.ca/technicalwriting/chapter/appendixc-integratingevidence/" TargetMode="External"/><Relationship Id="rId8" Type="http://schemas.openxmlformats.org/officeDocument/2006/relationships/hyperlink" Target="https://owl.purdue.edu/owl/research_and_citation/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